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6E" w:rsidRDefault="0045716E" w:rsidP="0045716E">
      <w:pPr>
        <w:pStyle w:val="a3"/>
        <w:tabs>
          <w:tab w:val="left" w:pos="4962"/>
        </w:tabs>
        <w:jc w:val="right"/>
        <w:rPr>
          <w:b w:val="0"/>
          <w:color w:val="000000"/>
        </w:rPr>
      </w:pPr>
      <w:r>
        <w:rPr>
          <w:b w:val="0"/>
          <w:color w:val="000000"/>
        </w:rPr>
        <w:t>Додаток 2</w:t>
      </w:r>
    </w:p>
    <w:p w:rsidR="0045716E" w:rsidRDefault="0045716E" w:rsidP="0045716E">
      <w:pPr>
        <w:pStyle w:val="6"/>
        <w:spacing w:before="0" w:after="0"/>
        <w:jc w:val="right"/>
        <w:rPr>
          <w:rFonts w:ascii="Times New Roman" w:hAnsi="Times New Roman"/>
          <w:b/>
          <w:color w:val="000000"/>
          <w:sz w:val="24"/>
          <w:lang w:val="uk-UA"/>
        </w:rPr>
      </w:pPr>
      <w:r>
        <w:rPr>
          <w:rFonts w:ascii="Times New Roman" w:hAnsi="Times New Roman"/>
          <w:b/>
          <w:color w:val="000000"/>
          <w:sz w:val="24"/>
          <w:lang w:val="uk-UA"/>
        </w:rPr>
        <w:t>до пункту 3.1 Порядку проведення державної реєстрації</w:t>
      </w:r>
    </w:p>
    <w:p w:rsidR="0045716E" w:rsidRDefault="0045716E" w:rsidP="0045716E">
      <w:pPr>
        <w:pStyle w:val="6"/>
        <w:spacing w:before="0" w:after="0"/>
        <w:jc w:val="right"/>
        <w:rPr>
          <w:rFonts w:ascii="Times New Roman" w:hAnsi="Times New Roman"/>
          <w:b/>
          <w:color w:val="000000"/>
          <w:sz w:val="24"/>
          <w:lang w:val="uk-UA"/>
        </w:rPr>
      </w:pPr>
      <w:r>
        <w:rPr>
          <w:rFonts w:ascii="Times New Roman" w:hAnsi="Times New Roman"/>
          <w:b/>
          <w:color w:val="000000"/>
          <w:sz w:val="24"/>
          <w:lang w:val="uk-UA"/>
        </w:rPr>
        <w:t xml:space="preserve"> (перереєстрації) медичних імунобіологічних препаратів в Україні</w:t>
      </w:r>
    </w:p>
    <w:p w:rsidR="0045716E" w:rsidRDefault="0045716E" w:rsidP="0045716E">
      <w:pPr>
        <w:pStyle w:val="6"/>
        <w:spacing w:before="0" w:after="0"/>
        <w:rPr>
          <w:rFonts w:ascii="Times New Roman" w:hAnsi="Times New Roman"/>
          <w:b/>
          <w:color w:val="000000"/>
          <w:sz w:val="28"/>
          <w:lang w:val="uk-UA"/>
        </w:rPr>
      </w:pPr>
      <w:r>
        <w:rPr>
          <w:rFonts w:ascii="Times New Roman" w:hAnsi="Times New Roman"/>
          <w:b/>
          <w:color w:val="000000"/>
          <w:sz w:val="28"/>
          <w:lang w:val="uk-UA"/>
        </w:rPr>
        <w:t xml:space="preserve"> </w:t>
      </w:r>
    </w:p>
    <w:p w:rsidR="0045716E" w:rsidRDefault="0045716E" w:rsidP="0045716E">
      <w:pPr>
        <w:pStyle w:val="6"/>
        <w:spacing w:before="0" w:after="0"/>
        <w:rPr>
          <w:rFonts w:ascii="Times New Roman" w:hAnsi="Times New Roman"/>
          <w:color w:val="000000"/>
          <w:sz w:val="28"/>
          <w:lang w:val="uk-UA"/>
        </w:rPr>
      </w:pPr>
      <w:r>
        <w:rPr>
          <w:rFonts w:ascii="Times New Roman" w:hAnsi="Times New Roman"/>
          <w:b/>
          <w:color w:val="000000"/>
          <w:sz w:val="28"/>
          <w:lang w:val="uk-UA"/>
        </w:rPr>
        <w:t xml:space="preserve"> </w:t>
      </w:r>
    </w:p>
    <w:p w:rsidR="0045716E" w:rsidRDefault="0045716E" w:rsidP="0045716E">
      <w:pPr>
        <w:pStyle w:val="4"/>
        <w:spacing w:before="0" w:after="0"/>
        <w:jc w:val="center"/>
        <w:rPr>
          <w:rFonts w:ascii="Times New Roman" w:hAnsi="Times New Roman"/>
          <w:color w:val="000000"/>
          <w:sz w:val="28"/>
          <w:lang w:val="uk-UA"/>
        </w:rPr>
      </w:pPr>
      <w:r>
        <w:rPr>
          <w:rFonts w:ascii="Times New Roman" w:hAnsi="Times New Roman"/>
          <w:color w:val="000000"/>
          <w:sz w:val="28"/>
          <w:lang w:val="uk-UA"/>
        </w:rPr>
        <w:t>Перелік реєстраційних матеріалів</w:t>
      </w:r>
    </w:p>
    <w:p w:rsidR="0045716E" w:rsidRDefault="0045716E" w:rsidP="0045716E">
      <w:pPr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Реєстраційні матеріали на МІБП,  що подається на реєстрацію (перереєстрацію), містять чотири частини.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Реєстраційні матеріали, засвідчені заявником, подаються в трьох примірниках з перекладом на українську мову. Крім того, на електронному носії подається проект інструкції для застосування (Частина 1, п.1.9); методи аналізу кінцевого МІБП (проект НТД) (Частина 2, п. 2.13).</w:t>
      </w:r>
    </w:p>
    <w:p w:rsidR="0045716E" w:rsidRDefault="0045716E" w:rsidP="0045716E">
      <w:pPr>
        <w:pStyle w:val="5"/>
        <w:ind w:firstLine="624"/>
        <w:jc w:val="both"/>
        <w:rPr>
          <w:rFonts w:ascii="Times New Roman" w:hAnsi="Times New Roman"/>
          <w:b/>
          <w:color w:val="000000"/>
          <w:sz w:val="28"/>
          <w:lang w:val="uk-UA"/>
        </w:rPr>
      </w:pPr>
      <w:r>
        <w:rPr>
          <w:rFonts w:ascii="Times New Roman" w:hAnsi="Times New Roman"/>
          <w:color w:val="000000"/>
          <w:sz w:val="28"/>
          <w:lang w:val="uk-UA"/>
        </w:rPr>
        <w:t> </w:t>
      </w:r>
      <w:r>
        <w:rPr>
          <w:rFonts w:ascii="Times New Roman" w:hAnsi="Times New Roman"/>
          <w:b/>
          <w:color w:val="000000"/>
          <w:sz w:val="28"/>
          <w:lang w:val="uk-UA"/>
        </w:rPr>
        <w:t xml:space="preserve">Частина 1 </w:t>
      </w:r>
    </w:p>
    <w:p w:rsidR="0045716E" w:rsidRDefault="0045716E" w:rsidP="0045716E">
      <w:pPr>
        <w:widowControl w:val="0"/>
        <w:numPr>
          <w:ilvl w:val="1"/>
          <w:numId w:val="1"/>
        </w:numPr>
        <w:ind w:left="0"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Експертний висновок Торгово-промислової палати щодо визначення коду МІБП згідно з УКТ </w:t>
      </w:r>
      <w:proofErr w:type="spellStart"/>
      <w:r>
        <w:rPr>
          <w:lang w:val="uk-UA"/>
        </w:rPr>
        <w:t>ЗЕД</w:t>
      </w:r>
      <w:proofErr w:type="spellEnd"/>
      <w:r>
        <w:rPr>
          <w:lang w:val="uk-UA"/>
        </w:rPr>
        <w:t>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1.2. Копія свідоцтва про реєстрацію МІБП  країни-виробника та інших країн (для зарубіжних МІБП), завірені в установленому порядку.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1.3. Копії документів, що гарантують відповідність досліджень вимогам GLP (для вітчизняних – довідка про метрологічний контроль засобів вимірювання).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1.4. Інформація про стан патентування, захист торгової марки в Україні (копії патентів, заявок, рішень патентних відомств - за наявності).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1.5. Проект назви МІБП на окремому аркуші (для МІБП, що реєструються вперше).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1.6. Зразки етикеток, упаковок на окремому аркуші.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1.7. Зразки МІБП у відповідних лікарських формах та упаковках (у кількості, достатній для проведення трьох повних аналізів відповідно до нормативної документації).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1.8. Проект інструкції для застосування.</w:t>
      </w:r>
    </w:p>
    <w:p w:rsidR="0045716E" w:rsidRDefault="0045716E" w:rsidP="0045716E">
      <w:pPr>
        <w:pStyle w:val="1"/>
        <w:ind w:firstLine="624"/>
        <w:jc w:val="both"/>
        <w:rPr>
          <w:rFonts w:ascii="Times New Roman" w:hAnsi="Times New Roman"/>
          <w:b/>
          <w:bCs w:val="0"/>
          <w:color w:val="000000"/>
          <w:sz w:val="28"/>
          <w:lang w:val="uk-UA"/>
        </w:rPr>
      </w:pPr>
      <w:r>
        <w:rPr>
          <w:rFonts w:ascii="Times New Roman" w:hAnsi="Times New Roman"/>
          <w:b/>
          <w:bCs w:val="0"/>
          <w:color w:val="000000"/>
          <w:sz w:val="28"/>
          <w:lang w:val="uk-UA"/>
        </w:rPr>
        <w:t xml:space="preserve">Частина 2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2.1. Опис складу МІБП.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2.2. Опис упаковки.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2.3. Наукові дані (кількість публікацій, перелік джерел), за наявності.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2.3.1. Узагальнені  дані </w:t>
      </w:r>
      <w:proofErr w:type="spellStart"/>
      <w:r>
        <w:rPr>
          <w:lang w:val="uk-UA"/>
        </w:rPr>
        <w:t>доклінічних</w:t>
      </w:r>
      <w:proofErr w:type="spellEnd"/>
      <w:r>
        <w:rPr>
          <w:lang w:val="uk-UA"/>
        </w:rPr>
        <w:t xml:space="preserve"> досліджень, узагальнені клінічні результати, наукові публікації (копії).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2.3.2. Дані   щодо  ефективності  і  безпечності в порівнянні з аналогічними імунобіологічними препаратами.</w:t>
      </w:r>
    </w:p>
    <w:p w:rsidR="0045716E" w:rsidRDefault="0045716E" w:rsidP="0045716E">
      <w:pPr>
        <w:widowControl w:val="0"/>
        <w:ind w:firstLine="624"/>
        <w:rPr>
          <w:rFonts w:cs="Arial"/>
          <w:color w:val="000000"/>
          <w:lang w:val="uk-UA"/>
        </w:rPr>
      </w:pPr>
      <w:r>
        <w:rPr>
          <w:lang w:val="uk-UA"/>
        </w:rPr>
        <w:t>2.4. Дані щодо заходів безпеки при зберіганні, застосуванні та утилізації</w:t>
      </w:r>
    </w:p>
    <w:p w:rsidR="0045716E" w:rsidRDefault="0045716E" w:rsidP="0045716E">
      <w:pPr>
        <w:widowControl w:val="0"/>
        <w:rPr>
          <w:rFonts w:cs="Arial"/>
          <w:color w:val="000000"/>
          <w:lang w:val="uk-UA"/>
        </w:rPr>
      </w:pPr>
      <w:r>
        <w:rPr>
          <w:lang w:val="uk-UA"/>
        </w:rPr>
        <w:t>МІБП із зазначенням наявності будь-якого потенційного ризику забруднення навколишнього середовища.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2.5. Проект технологічного регламенту або відомості про технологію виробництва.</w:t>
      </w:r>
    </w:p>
    <w:p w:rsidR="0045716E" w:rsidRDefault="0045716E" w:rsidP="0045716E">
      <w:pPr>
        <w:widowControl w:val="0"/>
        <w:jc w:val="right"/>
        <w:rPr>
          <w:rFonts w:cs="Arial"/>
          <w:color w:val="000000"/>
          <w:sz w:val="24"/>
          <w:lang w:val="uk-UA"/>
        </w:rPr>
      </w:pPr>
      <w:r>
        <w:rPr>
          <w:sz w:val="24"/>
          <w:lang w:val="uk-UA"/>
        </w:rPr>
        <w:t>Продовження додатка 2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2.6. Копія свідоцтва GMP (для вітчизняних – свідоцтво про атестацію </w:t>
      </w:r>
      <w:r>
        <w:rPr>
          <w:lang w:val="uk-UA"/>
        </w:rPr>
        <w:lastRenderedPageBreak/>
        <w:t xml:space="preserve">виробництва МІБП).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2.7. Інформація щодо біологічних агентів (діючих речовин).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2.7.1. Специфікації.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2.7.2. Домішки (якісний та кількісний склад).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2.8. Інформація щодо інших  речовин,  що входять до складу МІБП, якісний та кількісний склад.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2.9. Інформація щодо пакувальних матеріалів.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2.10. Аналітичні паспорти зразків біологічних агентів (діючих речовин) та допоміжних речовин.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2.11. Аналітичні паспорти зразків кінцевого продукту (готового МІБП).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2.12. Методи аналізу біологічних агентів (діючих речовин).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2.13. Методи аналізу кінцевого МІБП (проект НТД).</w:t>
      </w:r>
    </w:p>
    <w:p w:rsidR="0045716E" w:rsidRDefault="0045716E" w:rsidP="0045716E">
      <w:pPr>
        <w:pStyle w:val="BodyTextIndent2"/>
        <w:spacing w:after="0" w:line="240" w:lineRule="auto"/>
        <w:ind w:firstLine="624"/>
        <w:rPr>
          <w:color w:val="000000"/>
        </w:rPr>
      </w:pPr>
      <w:r>
        <w:rPr>
          <w:color w:val="000000"/>
        </w:rPr>
        <w:t>2.14. Дані щодо стабільності  біологічних агентів (діючих речовин),   включаючи   результати повторних аналізів (результати досліджень трьох послідовних серій біологічних агентів (діючих речовин).</w:t>
      </w:r>
    </w:p>
    <w:p w:rsidR="0045716E" w:rsidRDefault="0045716E" w:rsidP="0045716E">
      <w:pPr>
        <w:pStyle w:val="BodyTextIndent2"/>
        <w:spacing w:after="0" w:line="240" w:lineRule="auto"/>
        <w:ind w:firstLine="624"/>
        <w:rPr>
          <w:color w:val="000000"/>
        </w:rPr>
      </w:pPr>
      <w:r>
        <w:rPr>
          <w:color w:val="000000"/>
        </w:rPr>
        <w:t>2.15. Дані  щодо  стабільності  готового  продукту,  включаючи  результати повторних аналізів (результати досліджень трьох послідовних серій препарату).</w:t>
      </w:r>
    </w:p>
    <w:p w:rsidR="0045716E" w:rsidRDefault="0045716E" w:rsidP="0045716E">
      <w:pPr>
        <w:pStyle w:val="BodyTextIndent2"/>
        <w:spacing w:after="0" w:line="240" w:lineRule="auto"/>
        <w:ind w:firstLine="624"/>
        <w:rPr>
          <w:b/>
          <w:color w:val="000000"/>
          <w:lang w:val="ru-RU"/>
        </w:rPr>
      </w:pPr>
    </w:p>
    <w:p w:rsidR="0045716E" w:rsidRDefault="0045716E" w:rsidP="0045716E">
      <w:pPr>
        <w:pStyle w:val="BodyTextIndent2"/>
        <w:spacing w:after="0" w:line="240" w:lineRule="auto"/>
        <w:ind w:firstLine="624"/>
        <w:rPr>
          <w:b/>
          <w:color w:val="000000"/>
        </w:rPr>
      </w:pPr>
      <w:r>
        <w:rPr>
          <w:b/>
          <w:color w:val="000000"/>
        </w:rPr>
        <w:t>Частина 3</w:t>
      </w:r>
    </w:p>
    <w:p w:rsidR="0045716E" w:rsidRDefault="0045716E" w:rsidP="0045716E">
      <w:pPr>
        <w:pStyle w:val="BodyTextIndent2"/>
        <w:spacing w:after="0" w:line="240" w:lineRule="auto"/>
        <w:ind w:firstLine="624"/>
        <w:rPr>
          <w:color w:val="000000"/>
        </w:rPr>
      </w:pPr>
      <w:r>
        <w:rPr>
          <w:color w:val="000000"/>
        </w:rPr>
        <w:t xml:space="preserve">Документація з </w:t>
      </w:r>
      <w:proofErr w:type="spellStart"/>
      <w:r>
        <w:rPr>
          <w:color w:val="000000"/>
        </w:rPr>
        <w:t>фармакотоксикологічних</w:t>
      </w:r>
      <w:proofErr w:type="spellEnd"/>
      <w:r>
        <w:rPr>
          <w:color w:val="000000"/>
        </w:rPr>
        <w:t xml:space="preserve"> досліджень залежить  від того, до якої з груп (вакцини, сироватки, алергени тощо) відноситься МІБП, який подається на реєстрацію (перереєстрацію). Розділ включає:</w:t>
      </w:r>
    </w:p>
    <w:p w:rsidR="0045716E" w:rsidRDefault="0045716E" w:rsidP="0045716E">
      <w:pPr>
        <w:pStyle w:val="BodyTextIndent2"/>
        <w:spacing w:after="0" w:line="240" w:lineRule="auto"/>
        <w:ind w:firstLine="624"/>
        <w:rPr>
          <w:color w:val="000000"/>
        </w:rPr>
      </w:pPr>
      <w:r>
        <w:rPr>
          <w:color w:val="000000"/>
        </w:rPr>
        <w:t xml:space="preserve">3.1. Результати </w:t>
      </w:r>
      <w:proofErr w:type="spellStart"/>
      <w:r>
        <w:rPr>
          <w:color w:val="000000"/>
        </w:rPr>
        <w:t>доклінічного</w:t>
      </w:r>
      <w:proofErr w:type="spellEnd"/>
      <w:r>
        <w:rPr>
          <w:color w:val="000000"/>
        </w:rPr>
        <w:t xml:space="preserve"> вивчення МІБП (дані з </w:t>
      </w:r>
      <w:proofErr w:type="spellStart"/>
      <w:r>
        <w:rPr>
          <w:color w:val="000000"/>
        </w:rPr>
        <w:t>реактогенності</w:t>
      </w:r>
      <w:proofErr w:type="spellEnd"/>
      <w:r>
        <w:rPr>
          <w:color w:val="000000"/>
        </w:rPr>
        <w:t xml:space="preserve">, нешкідливості, специфічної активності тощо)  можуть, за необхідності, включати вивчення токсичності (при введенні однократної дози і повторних доз); ембріональної, фетальної і </w:t>
      </w:r>
      <w:proofErr w:type="spellStart"/>
      <w:r>
        <w:rPr>
          <w:color w:val="000000"/>
        </w:rPr>
        <w:t>перинатальної</w:t>
      </w:r>
      <w:proofErr w:type="spellEnd"/>
      <w:r>
        <w:rPr>
          <w:color w:val="000000"/>
        </w:rPr>
        <w:t xml:space="preserve">  токсичності; мутагенний потенціал; </w:t>
      </w:r>
      <w:proofErr w:type="spellStart"/>
      <w:r>
        <w:rPr>
          <w:color w:val="000000"/>
        </w:rPr>
        <w:t>фармакодинаміку</w:t>
      </w:r>
      <w:proofErr w:type="spellEnd"/>
      <w:r>
        <w:rPr>
          <w:color w:val="000000"/>
        </w:rPr>
        <w:t xml:space="preserve">; фармакокінетику; місцеву </w:t>
      </w:r>
      <w:proofErr w:type="spellStart"/>
      <w:r>
        <w:rPr>
          <w:color w:val="000000"/>
        </w:rPr>
        <w:t>переносимість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алергенність</w:t>
      </w:r>
      <w:proofErr w:type="spellEnd"/>
      <w:r>
        <w:rPr>
          <w:color w:val="000000"/>
        </w:rPr>
        <w:t xml:space="preserve"> тощо.</w:t>
      </w:r>
    </w:p>
    <w:p w:rsidR="0045716E" w:rsidRPr="0045716E" w:rsidRDefault="0045716E" w:rsidP="0045716E">
      <w:pPr>
        <w:pStyle w:val="BodyTextIndent2"/>
        <w:spacing w:after="0" w:line="240" w:lineRule="auto"/>
        <w:ind w:firstLine="624"/>
        <w:rPr>
          <w:b/>
          <w:color w:val="000000"/>
        </w:rPr>
      </w:pPr>
    </w:p>
    <w:p w:rsidR="0045716E" w:rsidRDefault="0045716E" w:rsidP="0045716E">
      <w:pPr>
        <w:pStyle w:val="BodyTextIndent2"/>
        <w:spacing w:after="0" w:line="240" w:lineRule="auto"/>
        <w:ind w:firstLine="624"/>
        <w:rPr>
          <w:b/>
          <w:color w:val="000000"/>
        </w:rPr>
      </w:pPr>
      <w:r>
        <w:rPr>
          <w:b/>
          <w:color w:val="000000"/>
        </w:rPr>
        <w:t xml:space="preserve">Частина 4 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4.1. Результати клінічних досліджень, що визначають епідеміологічну ефективність МІБП (дані з </w:t>
      </w:r>
      <w:proofErr w:type="spellStart"/>
      <w:r>
        <w:rPr>
          <w:lang w:val="uk-UA"/>
        </w:rPr>
        <w:t>реактогенності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імуногенності</w:t>
      </w:r>
      <w:proofErr w:type="spellEnd"/>
      <w:r>
        <w:rPr>
          <w:lang w:val="uk-UA"/>
        </w:rPr>
        <w:t>, діагностичної, лікувальної або епідеміологічної ефективності),</w:t>
      </w:r>
      <w:r>
        <w:rPr>
          <w:rStyle w:val="a5"/>
          <w:lang w:val="uk-UA"/>
        </w:rPr>
        <w:t xml:space="preserve"> </w:t>
      </w:r>
      <w:r>
        <w:rPr>
          <w:lang w:val="uk-UA"/>
        </w:rPr>
        <w:t>для вітчизняних МІБП - після проведення досліджень.</w:t>
      </w:r>
    </w:p>
    <w:p w:rsidR="0045716E" w:rsidRDefault="0045716E" w:rsidP="0045716E">
      <w:pPr>
        <w:widowControl w:val="0"/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4.2. Програма проведення клінічних, клініко-епідеміологічних випробувань: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4.2.1. Обґрунтування доцільності.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4.2.2. Мета.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4.2.3. Стисла характеристика препарату.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4.2.4. Матеріали дослідження.</w:t>
      </w:r>
    </w:p>
    <w:p w:rsidR="0045716E" w:rsidRDefault="0045716E" w:rsidP="0045716E">
      <w:pPr>
        <w:ind w:firstLine="1701"/>
        <w:jc w:val="right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45716E" w:rsidRDefault="0045716E" w:rsidP="0045716E">
      <w:pPr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45716E" w:rsidRDefault="0045716E" w:rsidP="0045716E">
      <w:pPr>
        <w:ind w:firstLine="1701"/>
        <w:jc w:val="right"/>
        <w:rPr>
          <w:rFonts w:cs="Arial"/>
          <w:color w:val="000000"/>
          <w:sz w:val="24"/>
          <w:lang w:val="uk-UA"/>
        </w:rPr>
      </w:pPr>
      <w:r>
        <w:rPr>
          <w:sz w:val="24"/>
          <w:lang w:val="uk-UA"/>
        </w:rPr>
        <w:t>Продовження додатка 2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  <w:sz w:val="24"/>
        </w:rPr>
        <w:t> </w:t>
      </w:r>
      <w:r>
        <w:rPr>
          <w:color w:val="000000"/>
        </w:rPr>
        <w:t>4.2.5. Умови проведення досліджень (методи, схеми введення препарату, оформлення результатів).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4.2.6. Організація роботи.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lastRenderedPageBreak/>
        <w:t>4.2.7. Бази проведення досліджень.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>4.2.8.  Додатки (зразки анкет, щоденників на кожного учасника).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 xml:space="preserve">4.2.9. Перелік осіб, відповідальних за проведення дослідження. </w:t>
      </w:r>
    </w:p>
    <w:p w:rsidR="0045716E" w:rsidRDefault="0045716E" w:rsidP="0045716E">
      <w:pPr>
        <w:pStyle w:val="BodyText2"/>
        <w:ind w:firstLine="624"/>
        <w:rPr>
          <w:color w:val="000000"/>
        </w:rPr>
      </w:pPr>
      <w:r>
        <w:rPr>
          <w:color w:val="000000"/>
        </w:rPr>
        <w:t xml:space="preserve">4.3. </w:t>
      </w:r>
      <w:proofErr w:type="spellStart"/>
      <w:r>
        <w:rPr>
          <w:color w:val="000000"/>
        </w:rPr>
        <w:t>Післяреєстраційний</w:t>
      </w:r>
      <w:proofErr w:type="spellEnd"/>
      <w:r>
        <w:rPr>
          <w:color w:val="000000"/>
        </w:rPr>
        <w:t xml:space="preserve"> досвід застосування МІБП.</w:t>
      </w:r>
    </w:p>
    <w:p w:rsidR="0045716E" w:rsidRDefault="0045716E" w:rsidP="0045716E">
      <w:pPr>
        <w:pStyle w:val="a3"/>
        <w:tabs>
          <w:tab w:val="left" w:pos="4962"/>
        </w:tabs>
        <w:ind w:right="-1"/>
        <w:jc w:val="right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45716E" w:rsidRDefault="0045716E" w:rsidP="0045716E">
      <w:pPr>
        <w:pStyle w:val="a3"/>
        <w:tabs>
          <w:tab w:val="left" w:pos="4962"/>
        </w:tabs>
        <w:ind w:right="-1"/>
        <w:jc w:val="right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45716E" w:rsidRDefault="0045716E" w:rsidP="0045716E">
      <w:pPr>
        <w:pStyle w:val="a3"/>
        <w:tabs>
          <w:tab w:val="left" w:pos="4962"/>
        </w:tabs>
        <w:ind w:right="-1"/>
        <w:jc w:val="right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45716E" w:rsidRDefault="0045716E" w:rsidP="0045716E">
      <w:pPr>
        <w:tabs>
          <w:tab w:val="left" w:pos="360"/>
        </w:tabs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Заступник Голови</w:t>
      </w:r>
    </w:p>
    <w:p w:rsidR="0045716E" w:rsidRDefault="0045716E" w:rsidP="0045716E">
      <w:pPr>
        <w:tabs>
          <w:tab w:val="left" w:pos="360"/>
        </w:tabs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Державної служби                                     О.Я. </w:t>
      </w:r>
      <w:proofErr w:type="spellStart"/>
      <w:r>
        <w:rPr>
          <w:lang w:val="uk-UA"/>
        </w:rPr>
        <w:t>Кричевська</w:t>
      </w:r>
      <w:proofErr w:type="spellEnd"/>
      <w:r>
        <w:rPr>
          <w:lang w:val="uk-UA"/>
        </w:rPr>
        <w:t xml:space="preserve"> </w:t>
      </w:r>
    </w:p>
    <w:p w:rsidR="0045716E" w:rsidRDefault="0045716E" w:rsidP="0045716E">
      <w:pPr>
        <w:ind w:firstLine="1701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45716E" w:rsidRDefault="0045716E" w:rsidP="0045716E">
      <w:pPr>
        <w:ind w:firstLine="1701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45716E" w:rsidRDefault="0045716E" w:rsidP="0045716E">
      <w:pPr>
        <w:ind w:firstLine="1701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45716E" w:rsidRDefault="0045716E" w:rsidP="0045716E">
      <w:pPr>
        <w:ind w:firstLine="1701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6B3A9D" w:rsidRDefault="006B3A9D"/>
    <w:sectPr w:rsidR="006B3A9D" w:rsidSect="006B3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C6296"/>
    <w:multiLevelType w:val="multilevel"/>
    <w:tmpl w:val="B7608276"/>
    <w:lvl w:ilvl="0">
      <w:start w:val="1"/>
      <w:numFmt w:val="decimal"/>
      <w:lvlText w:val="%1."/>
      <w:legacy w:legacy="1" w:legacySpace="120" w:legacyIndent="810"/>
      <w:lvlJc w:val="left"/>
      <w:pPr>
        <w:ind w:left="810" w:hanging="810"/>
      </w:pPr>
    </w:lvl>
    <w:lvl w:ilvl="1">
      <w:start w:val="1"/>
      <w:numFmt w:val="decimal"/>
      <w:lvlText w:val="%1.%2."/>
      <w:legacy w:legacy="1" w:legacySpace="120" w:legacyIndent="810"/>
      <w:lvlJc w:val="left"/>
      <w:pPr>
        <w:ind w:left="1620" w:hanging="810"/>
      </w:pPr>
    </w:lvl>
    <w:lvl w:ilvl="2">
      <w:start w:val="1"/>
      <w:numFmt w:val="decimal"/>
      <w:lvlText w:val="%1.%2.%3."/>
      <w:legacy w:legacy="1" w:legacySpace="120" w:legacyIndent="810"/>
      <w:lvlJc w:val="left"/>
      <w:pPr>
        <w:ind w:left="2430" w:hanging="81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51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59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603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83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63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790" w:hanging="216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120" w:legacyIndent="810"/>
        <w:lvlJc w:val="left"/>
        <w:pPr>
          <w:ind w:left="810" w:hanging="81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810"/>
        <w:lvlJc w:val="left"/>
        <w:pPr>
          <w:ind w:left="1620" w:hanging="81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810"/>
        <w:lvlJc w:val="left"/>
        <w:pPr>
          <w:ind w:left="2430" w:hanging="81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51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59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603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83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63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790" w:hanging="21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716E"/>
    <w:rsid w:val="000C60A4"/>
    <w:rsid w:val="003678B9"/>
    <w:rsid w:val="00373CFE"/>
    <w:rsid w:val="0045716E"/>
    <w:rsid w:val="006B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5716E"/>
    <w:pPr>
      <w:keepNext/>
      <w:spacing w:before="240" w:after="60"/>
      <w:outlineLvl w:val="0"/>
    </w:pPr>
    <w:rPr>
      <w:rFonts w:ascii="Arial" w:eastAsia="Arial Unicode MS" w:hAnsi="Arial" w:cs="Arial"/>
      <w:bCs/>
      <w:color w:val="330099"/>
      <w:kern w:val="32"/>
      <w:sz w:val="48"/>
      <w:szCs w:val="48"/>
    </w:rPr>
  </w:style>
  <w:style w:type="paragraph" w:styleId="4">
    <w:name w:val="heading 4"/>
    <w:basedOn w:val="a"/>
    <w:next w:val="a"/>
    <w:link w:val="40"/>
    <w:qFormat/>
    <w:rsid w:val="0045716E"/>
    <w:pPr>
      <w:keepNext/>
      <w:spacing w:before="240" w:after="60"/>
      <w:outlineLvl w:val="3"/>
    </w:pPr>
    <w:rPr>
      <w:rFonts w:ascii="Arial" w:eastAsia="Arial Unicode MS" w:hAnsi="Arial" w:cs="Arial"/>
      <w:bCs/>
      <w:color w:val="330099"/>
      <w:sz w:val="24"/>
    </w:rPr>
  </w:style>
  <w:style w:type="paragraph" w:styleId="5">
    <w:name w:val="heading 5"/>
    <w:basedOn w:val="a"/>
    <w:next w:val="a"/>
    <w:link w:val="50"/>
    <w:qFormat/>
    <w:rsid w:val="0045716E"/>
    <w:pPr>
      <w:spacing w:before="240" w:after="60"/>
      <w:outlineLvl w:val="4"/>
    </w:pPr>
    <w:rPr>
      <w:rFonts w:ascii="Arial" w:eastAsia="Arial Unicode MS" w:hAnsi="Arial" w:cs="Arial"/>
      <w:bCs/>
      <w:iCs/>
      <w:color w:val="330099"/>
      <w:sz w:val="20"/>
      <w:szCs w:val="20"/>
    </w:rPr>
  </w:style>
  <w:style w:type="paragraph" w:styleId="6">
    <w:name w:val="heading 6"/>
    <w:basedOn w:val="a"/>
    <w:next w:val="a"/>
    <w:link w:val="60"/>
    <w:qFormat/>
    <w:rsid w:val="0045716E"/>
    <w:pPr>
      <w:spacing w:before="240" w:after="60"/>
      <w:outlineLvl w:val="5"/>
    </w:pPr>
    <w:rPr>
      <w:rFonts w:ascii="Arial" w:eastAsia="Arial Unicode MS" w:hAnsi="Arial" w:cs="Arial"/>
      <w:bCs/>
      <w:color w:val="330099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16E"/>
    <w:rPr>
      <w:rFonts w:ascii="Arial" w:eastAsia="Arial Unicode MS" w:hAnsi="Arial" w:cs="Arial"/>
      <w:bCs/>
      <w:color w:val="330099"/>
      <w:kern w:val="32"/>
      <w:sz w:val="48"/>
      <w:szCs w:val="48"/>
      <w:lang w:val="ru-RU" w:eastAsia="ru-RU"/>
    </w:rPr>
  </w:style>
  <w:style w:type="character" w:customStyle="1" w:styleId="40">
    <w:name w:val="Заголовок 4 Знак"/>
    <w:basedOn w:val="a0"/>
    <w:link w:val="4"/>
    <w:rsid w:val="0045716E"/>
    <w:rPr>
      <w:rFonts w:ascii="Arial" w:eastAsia="Arial Unicode MS" w:hAnsi="Arial" w:cs="Arial"/>
      <w:bCs/>
      <w:color w:val="330099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45716E"/>
    <w:rPr>
      <w:rFonts w:ascii="Arial" w:eastAsia="Arial Unicode MS" w:hAnsi="Arial" w:cs="Arial"/>
      <w:bCs/>
      <w:iCs/>
      <w:color w:val="330099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45716E"/>
    <w:rPr>
      <w:rFonts w:ascii="Arial" w:eastAsia="Arial Unicode MS" w:hAnsi="Arial" w:cs="Arial"/>
      <w:bCs/>
      <w:color w:val="330099"/>
      <w:sz w:val="16"/>
      <w:szCs w:val="16"/>
      <w:lang w:val="ru-RU" w:eastAsia="ru-RU"/>
    </w:rPr>
  </w:style>
  <w:style w:type="paragraph" w:customStyle="1" w:styleId="BodyText2">
    <w:name w:val="Body Text 2"/>
    <w:basedOn w:val="a"/>
    <w:rsid w:val="0045716E"/>
    <w:pPr>
      <w:jc w:val="both"/>
    </w:pPr>
    <w:rPr>
      <w:rFonts w:cs="Arial"/>
      <w:szCs w:val="20"/>
      <w:lang w:val="uk-UA"/>
    </w:rPr>
  </w:style>
  <w:style w:type="paragraph" w:styleId="a3">
    <w:name w:val="Title"/>
    <w:basedOn w:val="a"/>
    <w:link w:val="a4"/>
    <w:qFormat/>
    <w:rsid w:val="0045716E"/>
    <w:pPr>
      <w:jc w:val="center"/>
    </w:pPr>
    <w:rPr>
      <w:rFonts w:cs="Arial"/>
      <w:b/>
      <w:caps/>
      <w:sz w:val="24"/>
      <w:szCs w:val="20"/>
      <w:lang w:val="uk-UA"/>
    </w:rPr>
  </w:style>
  <w:style w:type="character" w:customStyle="1" w:styleId="a4">
    <w:name w:val="Название Знак"/>
    <w:basedOn w:val="a0"/>
    <w:link w:val="a3"/>
    <w:rsid w:val="0045716E"/>
    <w:rPr>
      <w:rFonts w:ascii="Times New Roman" w:eastAsia="Times New Roman" w:hAnsi="Times New Roman" w:cs="Arial"/>
      <w:b/>
      <w:caps/>
      <w:sz w:val="24"/>
      <w:szCs w:val="20"/>
      <w:lang w:eastAsia="ru-RU"/>
    </w:rPr>
  </w:style>
  <w:style w:type="paragraph" w:customStyle="1" w:styleId="BodyTextIndent2">
    <w:name w:val="Body Text Indent 2"/>
    <w:basedOn w:val="a"/>
    <w:rsid w:val="0045716E"/>
    <w:pPr>
      <w:spacing w:after="120" w:line="360" w:lineRule="auto"/>
      <w:ind w:firstLine="851"/>
      <w:jc w:val="both"/>
    </w:pPr>
    <w:rPr>
      <w:rFonts w:cs="Arial"/>
      <w:szCs w:val="20"/>
      <w:lang w:val="uk-UA"/>
    </w:rPr>
  </w:style>
  <w:style w:type="character" w:styleId="a5">
    <w:name w:val="footnote reference"/>
    <w:basedOn w:val="a0"/>
    <w:semiHidden/>
    <w:rsid w:val="0045716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2857</Words>
  <Characters>1630</Characters>
  <Application>Microsoft Office Word</Application>
  <DocSecurity>0</DocSecurity>
  <Lines>13</Lines>
  <Paragraphs>8</Paragraphs>
  <ScaleCrop>false</ScaleCrop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2010-09-21T11:43:00Z</dcterms:created>
  <dcterms:modified xsi:type="dcterms:W3CDTF">2010-09-21T11:43:00Z</dcterms:modified>
</cp:coreProperties>
</file>